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46"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008"/>
      </w:tblGrid>
      <w:tr w:rsidR="00692703" w:rsidRPr="00CF1A49" w14:paraId="3944D60B" w14:textId="77777777" w:rsidTr="00BA505F">
        <w:trPr>
          <w:trHeight w:hRule="exact" w:val="1340"/>
        </w:trPr>
        <w:tc>
          <w:tcPr>
            <w:tcW w:w="10008" w:type="dxa"/>
            <w:tcMar>
              <w:top w:w="0" w:type="dxa"/>
              <w:bottom w:w="0" w:type="dxa"/>
            </w:tcMar>
          </w:tcPr>
          <w:p w14:paraId="777FA9B3" w14:textId="58650E73" w:rsidR="00692703" w:rsidRPr="00AA71E4" w:rsidRDefault="00AA71E4" w:rsidP="00913946">
            <w:pPr>
              <w:pStyle w:val="Title"/>
              <w:rPr>
                <w:color w:val="002060"/>
                <w:sz w:val="48"/>
                <w:szCs w:val="48"/>
              </w:rPr>
            </w:pPr>
            <w:r w:rsidRPr="00AA71E4">
              <w:rPr>
                <w:color w:val="002060"/>
                <w:sz w:val="48"/>
                <w:szCs w:val="48"/>
              </w:rPr>
              <w:t>Whitefish area lodging association</w:t>
            </w:r>
          </w:p>
          <w:p w14:paraId="779E3C7F" w14:textId="56D52377" w:rsidR="00692703" w:rsidRPr="00CF1A49" w:rsidRDefault="00AA71E4" w:rsidP="00913946">
            <w:pPr>
              <w:pStyle w:val="ContactInfo"/>
              <w:contextualSpacing w:val="0"/>
            </w:pPr>
            <w:r>
              <w:t>PO Box 561, Crosslake, MN 56442</w:t>
            </w:r>
          </w:p>
          <w:p w14:paraId="0C83D9BD" w14:textId="52CAD758" w:rsidR="00692703" w:rsidRPr="00CF1A49" w:rsidRDefault="00BF0C61" w:rsidP="00913946">
            <w:pPr>
              <w:pStyle w:val="ContactInfoEmphasis"/>
              <w:contextualSpacing w:val="0"/>
            </w:pPr>
            <w:r>
              <w:rPr>
                <w:color w:val="002060"/>
              </w:rPr>
              <w:t>vacation</w:t>
            </w:r>
            <w:r w:rsidR="00AA71E4" w:rsidRPr="00AA71E4">
              <w:rPr>
                <w:color w:val="002060"/>
              </w:rPr>
              <w:t>@whitefish.org</w:t>
            </w:r>
            <w:r w:rsidR="00692703" w:rsidRPr="00AA71E4">
              <w:rPr>
                <w:color w:val="002060"/>
              </w:rPr>
              <w:t xml:space="preserve"> </w:t>
            </w:r>
            <w:sdt>
              <w:sdtPr>
                <w:rPr>
                  <w:color w:val="002060"/>
                </w:rPr>
                <w:alias w:val="Divider dot:"/>
                <w:tag w:val="Divider dot:"/>
                <w:id w:val="2000459528"/>
                <w:placeholder>
                  <w:docPart w:val="B141E7D4104E4D83B20B7D7A7012BEC2"/>
                </w:placeholder>
                <w:temporary/>
                <w:showingPlcHdr/>
                <w15:appearance w15:val="hidden"/>
              </w:sdtPr>
              <w:sdtEndPr/>
              <w:sdtContent>
                <w:r w:rsidR="00692703" w:rsidRPr="00AA71E4">
                  <w:rPr>
                    <w:color w:val="002060"/>
                  </w:rPr>
                  <w:t>·</w:t>
                </w:r>
              </w:sdtContent>
            </w:sdt>
            <w:r w:rsidR="00692703" w:rsidRPr="00AA71E4">
              <w:rPr>
                <w:color w:val="002060"/>
              </w:rPr>
              <w:t xml:space="preserve"> </w:t>
            </w:r>
            <w:r w:rsidR="00AA71E4" w:rsidRPr="00AA71E4">
              <w:rPr>
                <w:color w:val="002060"/>
              </w:rPr>
              <w:t>www.whitefish.org</w:t>
            </w:r>
            <w:r w:rsidR="00692703" w:rsidRPr="00AA71E4">
              <w:rPr>
                <w:color w:val="002060"/>
              </w:rPr>
              <w:t xml:space="preserve"> </w:t>
            </w:r>
          </w:p>
        </w:tc>
      </w:tr>
      <w:tr w:rsidR="005579C9" w:rsidRPr="00CF1A49" w14:paraId="061651CB" w14:textId="77777777" w:rsidTr="00BA505F">
        <w:trPr>
          <w:trHeight w:hRule="exact" w:val="285"/>
        </w:trPr>
        <w:tc>
          <w:tcPr>
            <w:tcW w:w="10008" w:type="dxa"/>
            <w:tcMar>
              <w:top w:w="0" w:type="dxa"/>
              <w:bottom w:w="0" w:type="dxa"/>
            </w:tcMar>
          </w:tcPr>
          <w:p w14:paraId="20D4282F" w14:textId="77777777" w:rsidR="005579C9" w:rsidRDefault="005579C9" w:rsidP="005579C9"/>
        </w:tc>
      </w:tr>
    </w:tbl>
    <w:p w14:paraId="214C8D7F" w14:textId="77777777" w:rsidR="005579C9" w:rsidRDefault="005579C9" w:rsidP="005579C9">
      <w:pPr>
        <w:pStyle w:val="Header"/>
      </w:pPr>
    </w:p>
    <w:p w14:paraId="1038CC71" w14:textId="16FDB16E" w:rsidR="005579C9" w:rsidRPr="00BA505F" w:rsidRDefault="005579C9" w:rsidP="005579C9">
      <w:pPr>
        <w:pStyle w:val="Header"/>
        <w:rPr>
          <w:sz w:val="20"/>
          <w:szCs w:val="20"/>
        </w:rPr>
      </w:pP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9290"/>
      </w:tblGrid>
      <w:tr w:rsidR="005579C9" w:rsidRPr="00CF1A49" w14:paraId="1A5C958A" w14:textId="77777777" w:rsidTr="00BB7E51">
        <w:trPr>
          <w:trHeight w:val="8914"/>
        </w:trPr>
        <w:tc>
          <w:tcPr>
            <w:tcW w:w="9290" w:type="dxa"/>
          </w:tcPr>
          <w:p w14:paraId="6E07C0EC" w14:textId="77777777" w:rsidR="005579C9" w:rsidRPr="00BA505F" w:rsidRDefault="005579C9" w:rsidP="005579C9">
            <w:pPr>
              <w:pStyle w:val="Header"/>
              <w:rPr>
                <w:sz w:val="22"/>
              </w:rPr>
            </w:pPr>
          </w:p>
          <w:p w14:paraId="3A810E94" w14:textId="3C842705" w:rsidR="005579C9" w:rsidRPr="00BA505F" w:rsidRDefault="005579C9" w:rsidP="00BB7E51">
            <w:pPr>
              <w:pStyle w:val="Heading2"/>
              <w:outlineLvl w:val="1"/>
              <w:rPr>
                <w:sz w:val="22"/>
                <w:szCs w:val="22"/>
              </w:rPr>
            </w:pPr>
            <w:r w:rsidRPr="00BA505F">
              <w:rPr>
                <w:sz w:val="22"/>
                <w:szCs w:val="22"/>
              </w:rPr>
              <w:t xml:space="preserve">Dear </w:t>
            </w:r>
            <w:r w:rsidR="009B30D8">
              <w:rPr>
                <w:sz w:val="22"/>
                <w:szCs w:val="22"/>
              </w:rPr>
              <w:t>Property Owner</w:t>
            </w:r>
            <w:r w:rsidRPr="00BA505F">
              <w:rPr>
                <w:sz w:val="22"/>
                <w:szCs w:val="22"/>
              </w:rPr>
              <w:t>,</w:t>
            </w:r>
          </w:p>
          <w:p w14:paraId="04190C86" w14:textId="77777777" w:rsidR="005579C9" w:rsidRPr="00BA505F" w:rsidRDefault="005579C9" w:rsidP="005579C9">
            <w:pPr>
              <w:pStyle w:val="Header"/>
              <w:rPr>
                <w:sz w:val="22"/>
              </w:rPr>
            </w:pPr>
          </w:p>
          <w:p w14:paraId="50023277" w14:textId="13BF8650" w:rsidR="005579C9" w:rsidRPr="00BA505F" w:rsidRDefault="00AA71E4" w:rsidP="005579C9">
            <w:pPr>
              <w:rPr>
                <w:sz w:val="22"/>
              </w:rPr>
            </w:pPr>
            <w:r w:rsidRPr="00BA505F">
              <w:rPr>
                <w:sz w:val="22"/>
              </w:rPr>
              <w:t xml:space="preserve">Properties in the jurisdictions of the City of Crosslake and Ideal Township, who rent lodging are required by law to collect a 1% lodging tax. This tax is to be collected at the time each guest pays you and is </w:t>
            </w:r>
            <w:r w:rsidRPr="00BA505F">
              <w:rPr>
                <w:b/>
                <w:bCs/>
                <w:sz w:val="22"/>
              </w:rPr>
              <w:t xml:space="preserve">due </w:t>
            </w:r>
            <w:r w:rsidRPr="00BA505F">
              <w:rPr>
                <w:b/>
                <w:bCs/>
                <w:sz w:val="22"/>
                <w:u w:val="single"/>
              </w:rPr>
              <w:t xml:space="preserve">quarterly </w:t>
            </w:r>
            <w:r w:rsidRPr="00BA505F">
              <w:rPr>
                <w:b/>
                <w:bCs/>
                <w:sz w:val="22"/>
              </w:rPr>
              <w:t>on the 25</w:t>
            </w:r>
            <w:r w:rsidRPr="00BA505F">
              <w:rPr>
                <w:b/>
                <w:bCs/>
                <w:sz w:val="22"/>
                <w:vertAlign w:val="superscript"/>
              </w:rPr>
              <w:t>th</w:t>
            </w:r>
            <w:r w:rsidRPr="00BA505F">
              <w:rPr>
                <w:b/>
                <w:bCs/>
                <w:sz w:val="22"/>
              </w:rPr>
              <w:t xml:space="preserve"> of the month</w:t>
            </w:r>
            <w:r w:rsidR="00817F9F">
              <w:rPr>
                <w:b/>
                <w:bCs/>
                <w:sz w:val="22"/>
              </w:rPr>
              <w:t xml:space="preserve"> after the end of each qua</w:t>
            </w:r>
            <w:r w:rsidR="00567073">
              <w:rPr>
                <w:b/>
                <w:bCs/>
                <w:sz w:val="22"/>
              </w:rPr>
              <w:t>rter</w:t>
            </w:r>
            <w:r w:rsidRPr="00BA505F">
              <w:rPr>
                <w:b/>
                <w:bCs/>
                <w:sz w:val="22"/>
              </w:rPr>
              <w:t xml:space="preserve"> </w:t>
            </w:r>
            <w:r w:rsidRPr="00BA505F">
              <w:rPr>
                <w:sz w:val="22"/>
              </w:rPr>
              <w:t>to the designated tax administrator, Ideal Township.</w:t>
            </w:r>
            <w:r w:rsidR="00C81518">
              <w:rPr>
                <w:sz w:val="22"/>
              </w:rPr>
              <w:t xml:space="preserve">  The quarters are </w:t>
            </w:r>
            <w:r w:rsidR="00BE60CF">
              <w:rPr>
                <w:sz w:val="22"/>
              </w:rPr>
              <w:t>Jan. to March, April to June,</w:t>
            </w:r>
            <w:r w:rsidR="00CA002E">
              <w:rPr>
                <w:sz w:val="22"/>
              </w:rPr>
              <w:t xml:space="preserve"> July to Sept., and Oct. to Dec.</w:t>
            </w:r>
            <w:r w:rsidR="005C1DA0">
              <w:rPr>
                <w:sz w:val="22"/>
              </w:rPr>
              <w:t xml:space="preserve">  For example</w:t>
            </w:r>
            <w:r w:rsidR="006371F8">
              <w:rPr>
                <w:sz w:val="22"/>
              </w:rPr>
              <w:t>,</w:t>
            </w:r>
            <w:r w:rsidR="005C1DA0">
              <w:rPr>
                <w:sz w:val="22"/>
              </w:rPr>
              <w:t xml:space="preserve"> </w:t>
            </w:r>
            <w:r w:rsidR="00B333FA">
              <w:rPr>
                <w:sz w:val="22"/>
              </w:rPr>
              <w:t>1</w:t>
            </w:r>
            <w:r w:rsidR="00B333FA" w:rsidRPr="00B333FA">
              <w:rPr>
                <w:sz w:val="22"/>
                <w:vertAlign w:val="superscript"/>
              </w:rPr>
              <w:t>st</w:t>
            </w:r>
            <w:r w:rsidR="00B333FA">
              <w:rPr>
                <w:sz w:val="22"/>
              </w:rPr>
              <w:t xml:space="preserve"> quarter is due by April 25</w:t>
            </w:r>
            <w:r w:rsidR="00B333FA" w:rsidRPr="00B333FA">
              <w:rPr>
                <w:sz w:val="22"/>
                <w:vertAlign w:val="superscript"/>
              </w:rPr>
              <w:t>th</w:t>
            </w:r>
            <w:r w:rsidR="00B333FA">
              <w:rPr>
                <w:sz w:val="22"/>
              </w:rPr>
              <w:t xml:space="preserve">.  </w:t>
            </w:r>
            <w:r w:rsidRPr="00BA505F">
              <w:rPr>
                <w:sz w:val="22"/>
              </w:rPr>
              <w:t xml:space="preserve"> </w:t>
            </w:r>
          </w:p>
          <w:p w14:paraId="4BD1E693" w14:textId="4E87704A" w:rsidR="00AA71E4" w:rsidRPr="00BA505F" w:rsidRDefault="00AA71E4" w:rsidP="005579C9">
            <w:pPr>
              <w:rPr>
                <w:sz w:val="22"/>
              </w:rPr>
            </w:pPr>
          </w:p>
          <w:p w14:paraId="3CEBAD63" w14:textId="3D3D1445" w:rsidR="00AA71E4" w:rsidRPr="001126DC" w:rsidRDefault="00AA71E4" w:rsidP="005579C9">
            <w:pPr>
              <w:rPr>
                <w:b/>
                <w:bCs/>
                <w:i/>
                <w:iCs/>
                <w:sz w:val="22"/>
              </w:rPr>
            </w:pPr>
            <w:r w:rsidRPr="00BA505F">
              <w:rPr>
                <w:sz w:val="22"/>
              </w:rPr>
              <w:t xml:space="preserve">Please use the attached </w:t>
            </w:r>
            <w:r w:rsidRPr="00BA505F">
              <w:rPr>
                <w:b/>
                <w:bCs/>
                <w:sz w:val="22"/>
              </w:rPr>
              <w:t xml:space="preserve">Lodging Tax Form </w:t>
            </w:r>
            <w:r w:rsidRPr="00BA505F">
              <w:rPr>
                <w:sz w:val="22"/>
              </w:rPr>
              <w:t xml:space="preserve">to aid you in your tax reporting process. Complete this form and submit it with each quarter’s payment. You are encouraged to keep a copy of this form for your records. </w:t>
            </w:r>
            <w:r w:rsidRPr="00BA505F">
              <w:rPr>
                <w:i/>
                <w:iCs/>
                <w:sz w:val="22"/>
              </w:rPr>
              <w:t>If you are new to the Association, please contact your tax administrator, Ideal Township</w:t>
            </w:r>
            <w:r w:rsidR="00B1360D" w:rsidRPr="00BA505F">
              <w:rPr>
                <w:i/>
                <w:iCs/>
                <w:sz w:val="22"/>
              </w:rPr>
              <w:t>, to complete an Association Application.</w:t>
            </w:r>
            <w:r w:rsidR="00674808">
              <w:rPr>
                <w:i/>
                <w:iCs/>
                <w:sz w:val="22"/>
              </w:rPr>
              <w:t xml:space="preserve">  </w:t>
            </w:r>
            <w:r w:rsidR="00850A7F">
              <w:rPr>
                <w:b/>
                <w:bCs/>
                <w:i/>
                <w:iCs/>
                <w:sz w:val="22"/>
              </w:rPr>
              <w:t>Th</w:t>
            </w:r>
            <w:r w:rsidR="00FF587D">
              <w:rPr>
                <w:b/>
                <w:bCs/>
                <w:i/>
                <w:iCs/>
                <w:sz w:val="22"/>
              </w:rPr>
              <w:t xml:space="preserve">e </w:t>
            </w:r>
            <w:r w:rsidR="00850A7F">
              <w:rPr>
                <w:b/>
                <w:bCs/>
                <w:i/>
                <w:iCs/>
                <w:sz w:val="22"/>
              </w:rPr>
              <w:t xml:space="preserve">lodging tax form will be emailed </w:t>
            </w:r>
            <w:r w:rsidR="00D75E07">
              <w:rPr>
                <w:b/>
                <w:bCs/>
                <w:i/>
                <w:iCs/>
                <w:sz w:val="22"/>
              </w:rPr>
              <w:t xml:space="preserve">to Association members quarterly.  </w:t>
            </w:r>
          </w:p>
          <w:p w14:paraId="76354533" w14:textId="74ACA6BE" w:rsidR="00B1360D" w:rsidRPr="00BA505F" w:rsidRDefault="00B1360D" w:rsidP="005579C9">
            <w:pPr>
              <w:rPr>
                <w:i/>
                <w:iCs/>
                <w:sz w:val="22"/>
              </w:rPr>
            </w:pPr>
          </w:p>
          <w:p w14:paraId="7F56EB80" w14:textId="34084ACD" w:rsidR="005579C9" w:rsidRPr="00BA505F" w:rsidRDefault="00B1360D" w:rsidP="005579C9">
            <w:pPr>
              <w:rPr>
                <w:sz w:val="22"/>
              </w:rPr>
            </w:pPr>
            <w:r w:rsidRPr="00BA505F">
              <w:rPr>
                <w:sz w:val="22"/>
              </w:rPr>
              <w:t xml:space="preserve">If a payment is </w:t>
            </w:r>
            <w:r w:rsidRPr="00BA505F">
              <w:rPr>
                <w:sz w:val="22"/>
                <w:u w:val="single"/>
              </w:rPr>
              <w:t xml:space="preserve">not </w:t>
            </w:r>
            <w:r w:rsidRPr="00BA505F">
              <w:rPr>
                <w:sz w:val="22"/>
              </w:rPr>
              <w:t>received by the 25</w:t>
            </w:r>
            <w:r w:rsidRPr="00BA505F">
              <w:rPr>
                <w:sz w:val="22"/>
                <w:vertAlign w:val="superscript"/>
              </w:rPr>
              <w:t>th</w:t>
            </w:r>
            <w:r w:rsidRPr="00BA505F">
              <w:rPr>
                <w:sz w:val="22"/>
              </w:rPr>
              <w:t xml:space="preserve"> of the quarterly month, the following actions may be taken:</w:t>
            </w:r>
          </w:p>
          <w:p w14:paraId="4160B92B" w14:textId="0CEF717B" w:rsidR="005579C9" w:rsidRPr="00BA505F" w:rsidRDefault="00C31C1B" w:rsidP="00B1360D">
            <w:pPr>
              <w:pStyle w:val="ListBullet"/>
              <w:contextualSpacing w:val="0"/>
              <w:rPr>
                <w:sz w:val="22"/>
              </w:rPr>
            </w:pPr>
            <w:r>
              <w:rPr>
                <w:sz w:val="22"/>
              </w:rPr>
              <w:t>Te</w:t>
            </w:r>
            <w:r w:rsidR="00096DFF">
              <w:rPr>
                <w:sz w:val="22"/>
              </w:rPr>
              <w:t>n</w:t>
            </w:r>
            <w:r w:rsidR="00B1360D" w:rsidRPr="00BA505F">
              <w:rPr>
                <w:sz w:val="22"/>
              </w:rPr>
              <w:t xml:space="preserve"> days after the 25</w:t>
            </w:r>
            <w:r w:rsidR="00B1360D" w:rsidRPr="00BA505F">
              <w:rPr>
                <w:sz w:val="22"/>
                <w:vertAlign w:val="superscript"/>
              </w:rPr>
              <w:t>th</w:t>
            </w:r>
            <w:r w:rsidR="00B1360D" w:rsidRPr="00BA505F">
              <w:rPr>
                <w:sz w:val="22"/>
              </w:rPr>
              <w:t xml:space="preserve"> of the quarterly month, the tax administrator (Ideal Township) will send a written notification that your payment is past due.</w:t>
            </w:r>
          </w:p>
          <w:p w14:paraId="7BAB0B31" w14:textId="4C1D6CCF" w:rsidR="00B1360D" w:rsidRPr="00BA505F" w:rsidRDefault="00B1360D" w:rsidP="00B1360D">
            <w:pPr>
              <w:pStyle w:val="ListBullet"/>
              <w:contextualSpacing w:val="0"/>
              <w:rPr>
                <w:sz w:val="22"/>
              </w:rPr>
            </w:pPr>
            <w:r w:rsidRPr="00BA505F">
              <w:rPr>
                <w:sz w:val="22"/>
              </w:rPr>
              <w:t>Late payments carry the additional burden of a 10% interest rate (based on amount due).</w:t>
            </w:r>
          </w:p>
          <w:p w14:paraId="1FE4168B" w14:textId="52258DA0" w:rsidR="00B1360D" w:rsidRPr="00BA505F" w:rsidRDefault="00B1360D" w:rsidP="00B1360D">
            <w:pPr>
              <w:pStyle w:val="ListBullet"/>
              <w:contextualSpacing w:val="0"/>
              <w:rPr>
                <w:sz w:val="22"/>
              </w:rPr>
            </w:pPr>
            <w:r w:rsidRPr="00BA505F">
              <w:rPr>
                <w:sz w:val="22"/>
              </w:rPr>
              <w:t>If a tax payment is 30 days past due, an additional 5% interest penalty will be added to the past due amount (based on the original tax amount). A prosecuting attorney may also take legal action to recover the late tax, including interest, penalties and the cost of disbursements of any action. Additional fees apply for each 30 additional days a tax payment is late.</w:t>
            </w:r>
          </w:p>
          <w:p w14:paraId="05B701CE" w14:textId="5055CD88" w:rsidR="00B1360D" w:rsidRPr="00BA505F" w:rsidRDefault="00B1360D" w:rsidP="00B1360D">
            <w:pPr>
              <w:pStyle w:val="ListBullet"/>
              <w:contextualSpacing w:val="0"/>
              <w:rPr>
                <w:sz w:val="22"/>
              </w:rPr>
            </w:pPr>
            <w:r w:rsidRPr="00BA505F">
              <w:rPr>
                <w:sz w:val="22"/>
              </w:rPr>
              <w:t>If tax payments are delinquent 6 months or more, your property’s membership in WALA may be suspended, including removal from WALA marketing efforts.</w:t>
            </w:r>
          </w:p>
          <w:p w14:paraId="06BACD46" w14:textId="2703FE76" w:rsidR="00B1360D" w:rsidRPr="00BA505F" w:rsidRDefault="00B1360D" w:rsidP="00B1360D">
            <w:pPr>
              <w:pStyle w:val="ListBullet"/>
              <w:numPr>
                <w:ilvl w:val="0"/>
                <w:numId w:val="0"/>
              </w:numPr>
              <w:contextualSpacing w:val="0"/>
              <w:rPr>
                <w:sz w:val="22"/>
              </w:rPr>
            </w:pPr>
            <w:r w:rsidRPr="00BA505F">
              <w:rPr>
                <w:sz w:val="22"/>
              </w:rPr>
              <w:t xml:space="preserve">A property who fails to make this monthly 1% </w:t>
            </w:r>
            <w:r w:rsidR="00BA505F" w:rsidRPr="00BA505F">
              <w:rPr>
                <w:sz w:val="22"/>
              </w:rPr>
              <w:t>lodging</w:t>
            </w:r>
            <w:r w:rsidRPr="00BA505F">
              <w:rPr>
                <w:sz w:val="22"/>
              </w:rPr>
              <w:t xml:space="preserve"> tax payment could be charged with a misdemeanor by the state of Minnesota.</w:t>
            </w:r>
          </w:p>
          <w:p w14:paraId="69F0FB47" w14:textId="221768A4" w:rsidR="00B1360D" w:rsidRPr="00BA505F" w:rsidRDefault="00B1360D" w:rsidP="00B1360D">
            <w:pPr>
              <w:pStyle w:val="ListBullet"/>
              <w:numPr>
                <w:ilvl w:val="0"/>
                <w:numId w:val="0"/>
              </w:numPr>
              <w:contextualSpacing w:val="0"/>
              <w:rPr>
                <w:sz w:val="22"/>
              </w:rPr>
            </w:pPr>
            <w:r w:rsidRPr="00BA505F">
              <w:rPr>
                <w:sz w:val="22"/>
              </w:rPr>
              <w:t xml:space="preserve">One 30-day extension to file the </w:t>
            </w:r>
            <w:r w:rsidR="00BA505F" w:rsidRPr="00BA505F">
              <w:rPr>
                <w:sz w:val="22"/>
              </w:rPr>
              <w:t>monthly</w:t>
            </w:r>
            <w:r w:rsidRPr="00BA505F">
              <w:rPr>
                <w:sz w:val="22"/>
              </w:rPr>
              <w:t xml:space="preserve"> taxes, may be granted by Ideal Township, though an additional 10% interest (10% of the amount due) will also be due.</w:t>
            </w:r>
          </w:p>
          <w:p w14:paraId="15A5BA21" w14:textId="486B5877" w:rsidR="00B1360D" w:rsidRPr="00BA505F" w:rsidRDefault="00B1360D" w:rsidP="00B1360D">
            <w:pPr>
              <w:pStyle w:val="ListBullet"/>
              <w:numPr>
                <w:ilvl w:val="0"/>
                <w:numId w:val="0"/>
              </w:numPr>
              <w:contextualSpacing w:val="0"/>
              <w:rPr>
                <w:sz w:val="22"/>
              </w:rPr>
            </w:pPr>
            <w:r w:rsidRPr="00BA505F">
              <w:rPr>
                <w:sz w:val="22"/>
              </w:rPr>
              <w:t>If you have questions about this collection process, please contact me.</w:t>
            </w:r>
          </w:p>
          <w:p w14:paraId="4993B7A9" w14:textId="258DE7C7" w:rsidR="00B1360D" w:rsidRPr="00BA505F" w:rsidRDefault="00B1360D" w:rsidP="00B1360D">
            <w:pPr>
              <w:pStyle w:val="ListBullet"/>
              <w:numPr>
                <w:ilvl w:val="0"/>
                <w:numId w:val="0"/>
              </w:numPr>
              <w:contextualSpacing w:val="0"/>
              <w:rPr>
                <w:sz w:val="22"/>
              </w:rPr>
            </w:pPr>
            <w:r w:rsidRPr="00BA505F">
              <w:rPr>
                <w:sz w:val="22"/>
              </w:rPr>
              <w:t>Thank you,</w:t>
            </w:r>
          </w:p>
          <w:p w14:paraId="00EE1DFF" w14:textId="038599D9" w:rsidR="00B1360D" w:rsidRPr="00BA505F" w:rsidRDefault="00B1360D" w:rsidP="00BA505F">
            <w:pPr>
              <w:pStyle w:val="ListBullet"/>
              <w:numPr>
                <w:ilvl w:val="0"/>
                <w:numId w:val="0"/>
              </w:numPr>
              <w:spacing w:before="0"/>
              <w:contextualSpacing w:val="0"/>
              <w:rPr>
                <w:sz w:val="22"/>
              </w:rPr>
            </w:pPr>
            <w:r w:rsidRPr="00BA505F">
              <w:rPr>
                <w:sz w:val="22"/>
              </w:rPr>
              <w:t>J. Craig Wallace</w:t>
            </w:r>
          </w:p>
          <w:p w14:paraId="376BDB05" w14:textId="57103848" w:rsidR="00B1360D" w:rsidRPr="00BA505F" w:rsidRDefault="00B1360D" w:rsidP="00BA505F">
            <w:pPr>
              <w:pStyle w:val="ListBullet"/>
              <w:numPr>
                <w:ilvl w:val="0"/>
                <w:numId w:val="0"/>
              </w:numPr>
              <w:spacing w:before="0"/>
              <w:contextualSpacing w:val="0"/>
              <w:rPr>
                <w:sz w:val="22"/>
              </w:rPr>
            </w:pPr>
            <w:r w:rsidRPr="00BA505F">
              <w:rPr>
                <w:sz w:val="22"/>
              </w:rPr>
              <w:t>Ideal Township Clerk/Treasurer</w:t>
            </w:r>
          </w:p>
          <w:p w14:paraId="43010D00" w14:textId="15DA534D" w:rsidR="00BA505F" w:rsidRPr="00BA505F" w:rsidRDefault="00B1360D" w:rsidP="00BA505F">
            <w:pPr>
              <w:pStyle w:val="ListBullet"/>
              <w:numPr>
                <w:ilvl w:val="0"/>
                <w:numId w:val="0"/>
              </w:numPr>
              <w:spacing w:before="0"/>
              <w:contextualSpacing w:val="0"/>
              <w:rPr>
                <w:sz w:val="22"/>
              </w:rPr>
            </w:pPr>
            <w:r w:rsidRPr="00BA505F">
              <w:rPr>
                <w:sz w:val="22"/>
              </w:rPr>
              <w:t>(218) 543-</w:t>
            </w:r>
            <w:r w:rsidR="00BA505F" w:rsidRPr="00BA505F">
              <w:rPr>
                <w:sz w:val="22"/>
              </w:rPr>
              <w:t>4392 or info@idealtownship.</w:t>
            </w:r>
            <w:r w:rsidR="009B30D8">
              <w:rPr>
                <w:sz w:val="22"/>
              </w:rPr>
              <w:t>com</w:t>
            </w:r>
          </w:p>
        </w:tc>
      </w:tr>
    </w:tbl>
    <w:p w14:paraId="6CE18F1F" w14:textId="77777777" w:rsidR="00B51D1B" w:rsidRPr="006E1507" w:rsidRDefault="00B51D1B" w:rsidP="005579C9"/>
    <w:sectPr w:rsidR="00B51D1B" w:rsidRPr="006E1507" w:rsidSect="005A1B10">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EFE0" w14:textId="77777777" w:rsidR="008703F7" w:rsidRDefault="008703F7" w:rsidP="0068194B">
      <w:r>
        <w:separator/>
      </w:r>
    </w:p>
    <w:p w14:paraId="7C1E3B97" w14:textId="77777777" w:rsidR="008703F7" w:rsidRDefault="008703F7"/>
    <w:p w14:paraId="2EE0FA2E" w14:textId="77777777" w:rsidR="008703F7" w:rsidRDefault="008703F7"/>
  </w:endnote>
  <w:endnote w:type="continuationSeparator" w:id="0">
    <w:p w14:paraId="4B485373" w14:textId="77777777" w:rsidR="008703F7" w:rsidRDefault="008703F7" w:rsidP="0068194B">
      <w:r>
        <w:continuationSeparator/>
      </w:r>
    </w:p>
    <w:p w14:paraId="30B63294" w14:textId="77777777" w:rsidR="008703F7" w:rsidRDefault="008703F7"/>
    <w:p w14:paraId="58BF1C66" w14:textId="77777777" w:rsidR="008703F7" w:rsidRDefault="0087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65E9D58"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312D" w14:textId="77777777" w:rsidR="008703F7" w:rsidRDefault="008703F7" w:rsidP="0068194B">
      <w:r>
        <w:separator/>
      </w:r>
    </w:p>
    <w:p w14:paraId="2F47512F" w14:textId="77777777" w:rsidR="008703F7" w:rsidRDefault="008703F7"/>
    <w:p w14:paraId="5E0236A3" w14:textId="77777777" w:rsidR="008703F7" w:rsidRDefault="008703F7"/>
  </w:footnote>
  <w:footnote w:type="continuationSeparator" w:id="0">
    <w:p w14:paraId="3F980F66" w14:textId="77777777" w:rsidR="008703F7" w:rsidRDefault="008703F7" w:rsidP="0068194B">
      <w:r>
        <w:continuationSeparator/>
      </w:r>
    </w:p>
    <w:p w14:paraId="47939B5D" w14:textId="77777777" w:rsidR="008703F7" w:rsidRDefault="008703F7"/>
    <w:p w14:paraId="04BC1A6D" w14:textId="77777777" w:rsidR="008703F7" w:rsidRDefault="00870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334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1D28A78" wp14:editId="6516F88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C3ECEA6"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24308C1A"/>
    <w:lvl w:ilvl="0">
      <w:start w:val="1"/>
      <w:numFmt w:val="decimal"/>
      <w:pStyle w:val="ListBullet"/>
      <w:lvlText w:val="%1."/>
      <w:lvlJc w:val="left"/>
      <w:pPr>
        <w:ind w:left="360" w:hanging="360"/>
      </w:pPr>
      <w:rPr>
        <w:rFonts w:hint="default"/>
        <w:color w:val="002060"/>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E4"/>
    <w:rsid w:val="000001EF"/>
    <w:rsid w:val="00007322"/>
    <w:rsid w:val="00007728"/>
    <w:rsid w:val="00024584"/>
    <w:rsid w:val="00024730"/>
    <w:rsid w:val="00055E95"/>
    <w:rsid w:val="0007021F"/>
    <w:rsid w:val="00096DFF"/>
    <w:rsid w:val="000B2BA5"/>
    <w:rsid w:val="000F2F8C"/>
    <w:rsid w:val="0010006E"/>
    <w:rsid w:val="001045A8"/>
    <w:rsid w:val="001126DC"/>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D4015"/>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1E84"/>
    <w:rsid w:val="00510392"/>
    <w:rsid w:val="00513E2A"/>
    <w:rsid w:val="005579C9"/>
    <w:rsid w:val="00566A35"/>
    <w:rsid w:val="0056701E"/>
    <w:rsid w:val="00567073"/>
    <w:rsid w:val="005740D7"/>
    <w:rsid w:val="005A0F26"/>
    <w:rsid w:val="005A1B10"/>
    <w:rsid w:val="005A6850"/>
    <w:rsid w:val="005B1B1B"/>
    <w:rsid w:val="005C1DA0"/>
    <w:rsid w:val="005C5932"/>
    <w:rsid w:val="005D3CA7"/>
    <w:rsid w:val="005D4CC1"/>
    <w:rsid w:val="005E0986"/>
    <w:rsid w:val="005F4B91"/>
    <w:rsid w:val="005F55D2"/>
    <w:rsid w:val="0062312F"/>
    <w:rsid w:val="00625F2C"/>
    <w:rsid w:val="006371F8"/>
    <w:rsid w:val="006618E9"/>
    <w:rsid w:val="00664399"/>
    <w:rsid w:val="00674808"/>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17F9F"/>
    <w:rsid w:val="00834955"/>
    <w:rsid w:val="00850A7F"/>
    <w:rsid w:val="00855B59"/>
    <w:rsid w:val="00860461"/>
    <w:rsid w:val="0086487C"/>
    <w:rsid w:val="008703F7"/>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B30D8"/>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54FC1"/>
    <w:rsid w:val="00A615E1"/>
    <w:rsid w:val="00A755E8"/>
    <w:rsid w:val="00A93A5D"/>
    <w:rsid w:val="00AA71E4"/>
    <w:rsid w:val="00AB32F8"/>
    <w:rsid w:val="00AB610B"/>
    <w:rsid w:val="00AD360E"/>
    <w:rsid w:val="00AD40FB"/>
    <w:rsid w:val="00AD782D"/>
    <w:rsid w:val="00AE7650"/>
    <w:rsid w:val="00B10EBE"/>
    <w:rsid w:val="00B1360D"/>
    <w:rsid w:val="00B236F1"/>
    <w:rsid w:val="00B333FA"/>
    <w:rsid w:val="00B50F99"/>
    <w:rsid w:val="00B51D1B"/>
    <w:rsid w:val="00B540F4"/>
    <w:rsid w:val="00B60FD0"/>
    <w:rsid w:val="00B622DF"/>
    <w:rsid w:val="00B6332A"/>
    <w:rsid w:val="00B81760"/>
    <w:rsid w:val="00B8494C"/>
    <w:rsid w:val="00BA1546"/>
    <w:rsid w:val="00BA505F"/>
    <w:rsid w:val="00BB4E51"/>
    <w:rsid w:val="00BB7E51"/>
    <w:rsid w:val="00BD431F"/>
    <w:rsid w:val="00BE423E"/>
    <w:rsid w:val="00BE60CF"/>
    <w:rsid w:val="00BF0C61"/>
    <w:rsid w:val="00BF61AC"/>
    <w:rsid w:val="00C31C1B"/>
    <w:rsid w:val="00C47FA6"/>
    <w:rsid w:val="00C57FC6"/>
    <w:rsid w:val="00C66A7D"/>
    <w:rsid w:val="00C779DA"/>
    <w:rsid w:val="00C814F7"/>
    <w:rsid w:val="00C81518"/>
    <w:rsid w:val="00CA002E"/>
    <w:rsid w:val="00CA4B4D"/>
    <w:rsid w:val="00CB35C3"/>
    <w:rsid w:val="00CD323D"/>
    <w:rsid w:val="00CE4030"/>
    <w:rsid w:val="00CE64B3"/>
    <w:rsid w:val="00CF1A49"/>
    <w:rsid w:val="00CF71FE"/>
    <w:rsid w:val="00D0630C"/>
    <w:rsid w:val="00D243A9"/>
    <w:rsid w:val="00D305E5"/>
    <w:rsid w:val="00D37CD3"/>
    <w:rsid w:val="00D66A52"/>
    <w:rsid w:val="00D66EFA"/>
    <w:rsid w:val="00D72A2D"/>
    <w:rsid w:val="00D75E07"/>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54144"/>
    <w:rsid w:val="00F61DF9"/>
    <w:rsid w:val="00F81960"/>
    <w:rsid w:val="00F8769D"/>
    <w:rsid w:val="00F9350C"/>
    <w:rsid w:val="00F94EB5"/>
    <w:rsid w:val="00F9624D"/>
    <w:rsid w:val="00FB31C1"/>
    <w:rsid w:val="00FB58F2"/>
    <w:rsid w:val="00FC6AEA"/>
    <w:rsid w:val="00FD3D13"/>
    <w:rsid w:val="00FE55A2"/>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AF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odern%20chronological%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41E7D4104E4D83B20B7D7A7012BEC2"/>
        <w:category>
          <w:name w:val="General"/>
          <w:gallery w:val="placeholder"/>
        </w:category>
        <w:types>
          <w:type w:val="bbPlcHdr"/>
        </w:types>
        <w:behaviors>
          <w:behavior w:val="content"/>
        </w:behaviors>
        <w:guid w:val="{B26516C5-ED1A-4F87-857D-5A03739A176C}"/>
      </w:docPartPr>
      <w:docPartBody>
        <w:p w:rsidR="00D46A06" w:rsidRDefault="00F97A4C">
          <w:pPr>
            <w:pStyle w:val="B141E7D4104E4D83B20B7D7A7012BEC2"/>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4C"/>
    <w:rsid w:val="00B04D5F"/>
    <w:rsid w:val="00D46A06"/>
    <w:rsid w:val="00D827F6"/>
    <w:rsid w:val="00F9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B141E7D4104E4D83B20B7D7A7012BEC2">
    <w:name w:val="B141E7D4104E4D83B20B7D7A7012BEC2"/>
  </w:style>
  <w:style w:type="paragraph" w:customStyle="1" w:styleId="5377031620254905BC23F004DDABDDB6">
    <w:name w:val="5377031620254905BC23F004DDABDDB6"/>
  </w:style>
  <w:style w:type="paragraph" w:customStyle="1" w:styleId="AA3158FEF48E40D289124D07E9859A46">
    <w:name w:val="AA3158FEF48E40D289124D07E9859A46"/>
  </w:style>
  <w:style w:type="paragraph" w:customStyle="1" w:styleId="16A545B404E6485291C376BFD83F2B49">
    <w:name w:val="16A545B404E6485291C376BFD83F2B49"/>
  </w:style>
  <w:style w:type="paragraph" w:customStyle="1" w:styleId="5DA45460E0F3495E885E643ED967066C">
    <w:name w:val="5DA45460E0F3495E885E643ED967066C"/>
  </w:style>
  <w:style w:type="paragraph" w:styleId="ListBullet">
    <w:name w:val="List Bullet"/>
    <w:basedOn w:val="Normal"/>
    <w:uiPriority w:val="11"/>
    <w:qFormat/>
    <w:pPr>
      <w:numPr>
        <w:numId w:val="1"/>
      </w:numPr>
      <w:spacing w:before="120" w:after="0" w:line="240" w:lineRule="auto"/>
    </w:pPr>
    <w:rPr>
      <w:rFonts w:eastAsiaTheme="minorHAnsi"/>
      <w:color w:val="595959" w:themeColor="text1" w:themeTint="A6"/>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2021-02-11T18:18:00Z</dcterms:created>
  <dcterms:modified xsi:type="dcterms:W3CDTF">2021-02-11T18:18:00Z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